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F8" w:rsidRDefault="00984BF8" w:rsidP="00984BF8">
      <w:pPr>
        <w:pStyle w:val="a5"/>
        <w:ind w:firstLine="0"/>
        <w:jc w:val="center"/>
        <w:rPr>
          <w:i w:val="0"/>
          <w:sz w:val="24"/>
          <w:szCs w:val="24"/>
        </w:rPr>
      </w:pPr>
    </w:p>
    <w:p w:rsidR="00984BF8" w:rsidRDefault="00984BF8" w:rsidP="00984BF8">
      <w:pPr>
        <w:pStyle w:val="a5"/>
        <w:ind w:firstLine="0"/>
        <w:jc w:val="center"/>
        <w:rPr>
          <w:i w:val="0"/>
          <w:sz w:val="24"/>
          <w:szCs w:val="24"/>
        </w:rPr>
      </w:pPr>
    </w:p>
    <w:p w:rsidR="00984BF8" w:rsidRDefault="00984BF8" w:rsidP="00984BF8">
      <w:pPr>
        <w:pStyle w:val="a5"/>
        <w:ind w:firstLine="0"/>
        <w:jc w:val="center"/>
        <w:rPr>
          <w:i w:val="0"/>
          <w:sz w:val="24"/>
          <w:szCs w:val="24"/>
        </w:rPr>
      </w:pPr>
      <w:r w:rsidRPr="00222B54">
        <w:rPr>
          <w:noProof/>
        </w:rPr>
        <w:drawing>
          <wp:inline distT="0" distB="0" distL="0" distR="0" wp14:anchorId="672D76F7" wp14:editId="5639C443">
            <wp:extent cx="438150" cy="5143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bookmarkStart w:id="0" w:name="_GoBack"/>
      <w:bookmarkEnd w:id="0"/>
    </w:p>
    <w:p w:rsidR="00984BF8" w:rsidRDefault="00984BF8" w:rsidP="00984BF8">
      <w:pPr>
        <w:pStyle w:val="a5"/>
        <w:ind w:firstLine="0"/>
        <w:jc w:val="center"/>
        <w:rPr>
          <w:i w:val="0"/>
          <w:sz w:val="24"/>
          <w:szCs w:val="24"/>
        </w:rPr>
      </w:pPr>
    </w:p>
    <w:p w:rsidR="00984BF8" w:rsidRPr="00A15C18" w:rsidRDefault="00984BF8" w:rsidP="00984BF8">
      <w:pPr>
        <w:pStyle w:val="a5"/>
        <w:ind w:firstLine="0"/>
        <w:jc w:val="center"/>
        <w:rPr>
          <w:i w:val="0"/>
          <w:sz w:val="24"/>
          <w:szCs w:val="24"/>
        </w:rPr>
      </w:pPr>
      <w:r w:rsidRPr="00A15C18">
        <w:rPr>
          <w:i w:val="0"/>
          <w:sz w:val="24"/>
          <w:szCs w:val="24"/>
        </w:rPr>
        <w:t>Российская Федерация Приморский край</w:t>
      </w:r>
    </w:p>
    <w:p w:rsidR="00984BF8" w:rsidRPr="00A15C18" w:rsidRDefault="00984BF8" w:rsidP="00984BF8">
      <w:pPr>
        <w:pStyle w:val="a5"/>
        <w:tabs>
          <w:tab w:val="left" w:pos="2205"/>
          <w:tab w:val="center" w:pos="4629"/>
        </w:tabs>
        <w:ind w:firstLine="0"/>
        <w:jc w:val="center"/>
        <w:rPr>
          <w:i w:val="0"/>
          <w:sz w:val="24"/>
          <w:szCs w:val="24"/>
        </w:rPr>
      </w:pPr>
      <w:proofErr w:type="spellStart"/>
      <w:r w:rsidRPr="00A15C18">
        <w:rPr>
          <w:i w:val="0"/>
          <w:sz w:val="24"/>
          <w:szCs w:val="24"/>
        </w:rPr>
        <w:t>Яковлевский</w:t>
      </w:r>
      <w:proofErr w:type="spellEnd"/>
      <w:r w:rsidRPr="00A15C18">
        <w:rPr>
          <w:i w:val="0"/>
          <w:sz w:val="24"/>
          <w:szCs w:val="24"/>
        </w:rPr>
        <w:t xml:space="preserve"> муниципальный район</w:t>
      </w:r>
    </w:p>
    <w:p w:rsidR="00984BF8" w:rsidRPr="00A15C18" w:rsidRDefault="00984BF8" w:rsidP="00984BF8">
      <w:pPr>
        <w:jc w:val="center"/>
      </w:pPr>
    </w:p>
    <w:p w:rsidR="00984BF8" w:rsidRPr="00A15C18" w:rsidRDefault="00984BF8" w:rsidP="00984BF8">
      <w:pPr>
        <w:pStyle w:val="a3"/>
        <w:jc w:val="center"/>
        <w:rPr>
          <w:b/>
        </w:rPr>
      </w:pPr>
      <w:r w:rsidRPr="00A15C18">
        <w:rPr>
          <w:b/>
        </w:rPr>
        <w:t>МУНИЦИПАЛЬНЫЙ КОМИТЕТ</w:t>
      </w:r>
    </w:p>
    <w:p w:rsidR="00984BF8" w:rsidRPr="00A15C18" w:rsidRDefault="00984BF8" w:rsidP="00984BF8">
      <w:pPr>
        <w:pStyle w:val="a3"/>
        <w:jc w:val="center"/>
        <w:rPr>
          <w:b/>
        </w:rPr>
      </w:pPr>
      <w:r w:rsidRPr="00A15C18">
        <w:rPr>
          <w:b/>
        </w:rPr>
        <w:t>НОВОСЫСОЕВСКОГО СЕЛЬСКОГО ПОСЕЛЕНИЯ</w:t>
      </w:r>
    </w:p>
    <w:p w:rsidR="00984BF8" w:rsidRPr="00A15C18" w:rsidRDefault="00984BF8" w:rsidP="00984BF8">
      <w:pPr>
        <w:pStyle w:val="2"/>
        <w:rPr>
          <w:b w:val="0"/>
          <w:sz w:val="24"/>
          <w:szCs w:val="24"/>
        </w:rPr>
      </w:pPr>
    </w:p>
    <w:p w:rsidR="00984BF8" w:rsidRPr="00A15C18" w:rsidRDefault="00984BF8" w:rsidP="00984BF8">
      <w:pPr>
        <w:pStyle w:val="2"/>
        <w:rPr>
          <w:sz w:val="24"/>
          <w:szCs w:val="24"/>
        </w:rPr>
      </w:pPr>
      <w:r w:rsidRPr="00A15C18">
        <w:rPr>
          <w:sz w:val="24"/>
          <w:szCs w:val="24"/>
        </w:rPr>
        <w:t>РЕШЕНИЕ</w:t>
      </w:r>
    </w:p>
    <w:p w:rsidR="00984BF8" w:rsidRPr="00A15C18" w:rsidRDefault="00984BF8" w:rsidP="00984BF8"/>
    <w:p w:rsidR="00984BF8" w:rsidRPr="00A15C18" w:rsidRDefault="00984BF8" w:rsidP="00984BF8">
      <w:pPr>
        <w:jc w:val="both"/>
      </w:pPr>
      <w:r w:rsidRPr="00A15C18">
        <w:t xml:space="preserve">    </w:t>
      </w:r>
      <w:r>
        <w:t xml:space="preserve"> 29 апреля</w:t>
      </w:r>
      <w:r>
        <w:t xml:space="preserve"> 2022</w:t>
      </w:r>
      <w:r w:rsidRPr="00A15C18">
        <w:t xml:space="preserve"> года           </w:t>
      </w:r>
      <w:r>
        <w:t xml:space="preserve">          </w:t>
      </w:r>
      <w:r w:rsidRPr="00A15C18">
        <w:t xml:space="preserve">    с. </w:t>
      </w:r>
      <w:proofErr w:type="spellStart"/>
      <w:r w:rsidRPr="00A15C18">
        <w:t>Новосысоевка</w:t>
      </w:r>
      <w:proofErr w:type="spellEnd"/>
      <w:r w:rsidRPr="00A15C18">
        <w:tab/>
      </w:r>
      <w:r w:rsidRPr="00A15C18">
        <w:tab/>
      </w:r>
      <w:r w:rsidRPr="00A15C18">
        <w:tab/>
      </w:r>
      <w:r>
        <w:t xml:space="preserve">               </w:t>
      </w:r>
      <w:r w:rsidRPr="00A15C18">
        <w:t xml:space="preserve">№  </w:t>
      </w:r>
      <w:r>
        <w:t xml:space="preserve">57 </w:t>
      </w:r>
      <w:r w:rsidRPr="00A15C18">
        <w:t>-</w:t>
      </w:r>
      <w:r>
        <w:t xml:space="preserve"> </w:t>
      </w:r>
      <w:r w:rsidRPr="00A15C18">
        <w:t>НПА</w:t>
      </w:r>
    </w:p>
    <w:p w:rsidR="00984BF8" w:rsidRPr="00A15C18" w:rsidRDefault="00984BF8" w:rsidP="00984BF8">
      <w:pPr>
        <w:rPr>
          <w:b/>
        </w:rPr>
      </w:pPr>
      <w:r w:rsidRPr="00A15C18">
        <w:rPr>
          <w:b/>
          <w:i/>
        </w:rPr>
        <w:t xml:space="preserve"> </w:t>
      </w:r>
    </w:p>
    <w:p w:rsidR="00984BF8" w:rsidRPr="00A15C18" w:rsidRDefault="00984BF8" w:rsidP="00984BF8">
      <w:pPr>
        <w:jc w:val="both"/>
        <w:rPr>
          <w:b/>
        </w:rPr>
      </w:pPr>
      <w:r w:rsidRPr="00A15C18">
        <w:rPr>
          <w:b/>
        </w:rPr>
        <w:t xml:space="preserve">«О  внесении изменений в решение муниципального комитета от 13.10.2017 № 84-НПА  «О Правилах  благоустройства  территории </w:t>
      </w:r>
      <w:proofErr w:type="spellStart"/>
      <w:r w:rsidRPr="00A15C18">
        <w:rPr>
          <w:b/>
        </w:rPr>
        <w:t>Новосысоевского</w:t>
      </w:r>
      <w:proofErr w:type="spellEnd"/>
      <w:r w:rsidRPr="00A15C18">
        <w:rPr>
          <w:b/>
        </w:rPr>
        <w:t xml:space="preserve"> сельского поселения </w:t>
      </w:r>
      <w:proofErr w:type="spellStart"/>
      <w:r w:rsidRPr="00A15C18">
        <w:rPr>
          <w:b/>
        </w:rPr>
        <w:t>Яковлевского</w:t>
      </w:r>
      <w:proofErr w:type="spellEnd"/>
      <w:r w:rsidRPr="00A15C18">
        <w:rPr>
          <w:b/>
        </w:rPr>
        <w:t xml:space="preserve"> района Приморского края»</w:t>
      </w:r>
    </w:p>
    <w:p w:rsidR="00984BF8" w:rsidRPr="00A15C18" w:rsidRDefault="00984BF8" w:rsidP="00984BF8">
      <w:pPr>
        <w:rPr>
          <w:b/>
        </w:rPr>
      </w:pPr>
    </w:p>
    <w:p w:rsidR="00984BF8" w:rsidRPr="00A15C18" w:rsidRDefault="00984BF8" w:rsidP="00984BF8">
      <w:pPr>
        <w:jc w:val="both"/>
        <w:rPr>
          <w:b/>
        </w:rPr>
      </w:pPr>
      <w:r w:rsidRPr="00A15C18">
        <w:t xml:space="preserve">          В целях приведения в соответствие Правил благоустройства   территории </w:t>
      </w:r>
      <w:proofErr w:type="spellStart"/>
      <w:r w:rsidRPr="00A15C18">
        <w:t>Новосысоевского</w:t>
      </w:r>
      <w:proofErr w:type="spellEnd"/>
      <w:r w:rsidRPr="00A15C18">
        <w:t xml:space="preserve">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w:t>
      </w:r>
      <w:r>
        <w:t>,</w:t>
      </w:r>
      <w:r w:rsidRPr="00884BC2">
        <w:rPr>
          <w:sz w:val="22"/>
          <w:szCs w:val="22"/>
        </w:rPr>
        <w:t xml:space="preserve"> Законом Приморского края от 09.07.2018 № 313-КЗ </w:t>
      </w:r>
      <w:proofErr w:type="gramStart"/>
      <w:r w:rsidRPr="00884BC2">
        <w:rPr>
          <w:sz w:val="22"/>
          <w:szCs w:val="22"/>
        </w:rPr>
        <w:t xml:space="preserve">( </w:t>
      </w:r>
      <w:proofErr w:type="gramEnd"/>
      <w:r w:rsidRPr="00884BC2">
        <w:rPr>
          <w:sz w:val="22"/>
          <w:szCs w:val="22"/>
        </w:rPr>
        <w:t>в редакции закона Приморского края от 01.07.2021 № 1069-КЗ),</w:t>
      </w:r>
      <w:r w:rsidRPr="00A15C18">
        <w:t xml:space="preserve"> на основании ст. 5, ст. 20 Устава </w:t>
      </w:r>
      <w:proofErr w:type="spellStart"/>
      <w:r w:rsidRPr="00A15C18">
        <w:t>Новосысоевского</w:t>
      </w:r>
      <w:proofErr w:type="spellEnd"/>
      <w:r w:rsidRPr="00A15C18">
        <w:t xml:space="preserve"> сельского поселения, муниципальный комитет </w:t>
      </w:r>
      <w:proofErr w:type="spellStart"/>
      <w:r w:rsidRPr="00A15C18">
        <w:t>Новосысоевского</w:t>
      </w:r>
      <w:proofErr w:type="spellEnd"/>
      <w:r w:rsidRPr="00A15C18">
        <w:t xml:space="preserve"> сельского поселения</w:t>
      </w:r>
    </w:p>
    <w:p w:rsidR="00984BF8" w:rsidRPr="00A15C18" w:rsidRDefault="00984BF8" w:rsidP="00984BF8">
      <w:pPr>
        <w:jc w:val="center"/>
        <w:rPr>
          <w:b/>
        </w:rPr>
      </w:pPr>
    </w:p>
    <w:p w:rsidR="00984BF8" w:rsidRPr="00A15C18" w:rsidRDefault="00984BF8" w:rsidP="00984BF8">
      <w:pPr>
        <w:rPr>
          <w:b/>
        </w:rPr>
      </w:pPr>
      <w:r w:rsidRPr="00A15C18">
        <w:rPr>
          <w:b/>
        </w:rPr>
        <w:t>РЕШИЛ:</w:t>
      </w:r>
    </w:p>
    <w:p w:rsidR="00984BF8" w:rsidRPr="00A15C18" w:rsidRDefault="00984BF8" w:rsidP="00984BF8">
      <w:pPr>
        <w:jc w:val="center"/>
        <w:rPr>
          <w:b/>
        </w:rPr>
      </w:pPr>
    </w:p>
    <w:p w:rsidR="00984BF8" w:rsidRPr="00A15C18" w:rsidRDefault="00984BF8" w:rsidP="00984BF8">
      <w:pPr>
        <w:jc w:val="both"/>
      </w:pPr>
      <w:r w:rsidRPr="00A15C18">
        <w:t xml:space="preserve">    1.  Внести в  Правила благоустройства территории </w:t>
      </w:r>
      <w:proofErr w:type="spellStart"/>
      <w:r w:rsidRPr="00A15C18">
        <w:t>Новосысоевского</w:t>
      </w:r>
      <w:proofErr w:type="spellEnd"/>
      <w:r w:rsidRPr="00A15C18">
        <w:t xml:space="preserve"> сельского поселения </w:t>
      </w:r>
      <w:proofErr w:type="spellStart"/>
      <w:r w:rsidRPr="00A15C18">
        <w:t>Яковлевского</w:t>
      </w:r>
      <w:proofErr w:type="spellEnd"/>
      <w:r w:rsidRPr="00A15C18">
        <w:t xml:space="preserve"> муниципального района Приморского края следующие изменения:</w:t>
      </w:r>
    </w:p>
    <w:p w:rsidR="00984BF8" w:rsidRPr="000E74B6" w:rsidRDefault="00984BF8" w:rsidP="00984BF8">
      <w:pPr>
        <w:widowControl w:val="0"/>
        <w:spacing w:line="360" w:lineRule="auto"/>
        <w:ind w:firstLine="708"/>
        <w:jc w:val="both"/>
        <w:rPr>
          <w:b/>
        </w:rPr>
      </w:pPr>
      <w:r w:rsidRPr="00A15C18">
        <w:t xml:space="preserve"> </w:t>
      </w:r>
      <w:r>
        <w:t>1</w:t>
      </w:r>
      <w:r w:rsidRPr="000E74B6">
        <w:rPr>
          <w:b/>
        </w:rPr>
        <w:t>) Пункт 2.19 статьи 2 изложить в следующей редакции:</w:t>
      </w:r>
    </w:p>
    <w:p w:rsidR="00984BF8" w:rsidRDefault="00984BF8" w:rsidP="00984BF8">
      <w:pPr>
        <w:widowControl w:val="0"/>
        <w:ind w:firstLine="708"/>
        <w:jc w:val="both"/>
      </w:pPr>
      <w:r>
        <w:t xml:space="preserve">«2.19. Прилегающая территория - </w:t>
      </w:r>
      <w:r w:rsidRPr="00EF6893">
        <w:t>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w:t>
      </w:r>
      <w:r>
        <w:t xml:space="preserve">, и </w:t>
      </w:r>
      <w:proofErr w:type="gramStart"/>
      <w:r>
        <w:t>границы</w:t>
      </w:r>
      <w:proofErr w:type="gramEnd"/>
      <w:r>
        <w:t xml:space="preserve"> которой определены П</w:t>
      </w:r>
      <w:r w:rsidRPr="00EF6893">
        <w:t>равилами благоустройства терри</w:t>
      </w:r>
      <w:r>
        <w:t xml:space="preserve">тории </w:t>
      </w:r>
      <w:proofErr w:type="spellStart"/>
      <w:r>
        <w:t>Новосысоевского</w:t>
      </w:r>
      <w:proofErr w:type="spellEnd"/>
      <w:r>
        <w:t xml:space="preserve"> сельского поселения Приморского края (далее - П</w:t>
      </w:r>
      <w:r w:rsidRPr="00EF6893">
        <w:t>равила благоустройс</w:t>
      </w:r>
      <w:r>
        <w:t>тва) в соответствии с настоящим решением.</w:t>
      </w:r>
    </w:p>
    <w:p w:rsidR="00984BF8" w:rsidRDefault="00984BF8" w:rsidP="00984BF8">
      <w:pPr>
        <w:widowControl w:val="0"/>
        <w:ind w:firstLine="708"/>
        <w:jc w:val="both"/>
      </w:pPr>
      <w:proofErr w:type="gramStart"/>
      <w:r w:rsidRPr="00EF6893">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w:t>
      </w:r>
      <w:r>
        <w:t xml:space="preserve">ленных настоящими правилами </w:t>
      </w:r>
      <w:r w:rsidRPr="00EF6893">
        <w:t xml:space="preserve"> расстояний от объектов до границ прилега</w:t>
      </w:r>
      <w:r>
        <w:t>ющих территорий таких</w:t>
      </w:r>
      <w:proofErr w:type="gramEnd"/>
      <w:r>
        <w:t xml:space="preserve"> объектов</w:t>
      </w:r>
      <w:proofErr w:type="gramStart"/>
      <w:r>
        <w:t>.»;</w:t>
      </w:r>
      <w:proofErr w:type="gramEnd"/>
    </w:p>
    <w:p w:rsidR="00984BF8" w:rsidRPr="000E74B6" w:rsidRDefault="00984BF8" w:rsidP="00984BF8">
      <w:pPr>
        <w:widowControl w:val="0"/>
        <w:ind w:firstLine="708"/>
        <w:jc w:val="both"/>
      </w:pPr>
    </w:p>
    <w:p w:rsidR="00984BF8" w:rsidRDefault="00984BF8" w:rsidP="00984BF8">
      <w:pPr>
        <w:widowControl w:val="0"/>
        <w:spacing w:line="360" w:lineRule="auto"/>
        <w:ind w:firstLine="708"/>
        <w:jc w:val="both"/>
        <w:rPr>
          <w:b/>
        </w:rPr>
      </w:pPr>
      <w:r>
        <w:t xml:space="preserve">2) </w:t>
      </w:r>
      <w:r w:rsidRPr="000E74B6">
        <w:rPr>
          <w:b/>
        </w:rPr>
        <w:t>Статью 4 изложить в следующей редакции:</w:t>
      </w:r>
    </w:p>
    <w:p w:rsidR="00984BF8" w:rsidRDefault="00984BF8" w:rsidP="00984BF8">
      <w:pPr>
        <w:widowControl w:val="0"/>
        <w:spacing w:line="360" w:lineRule="auto"/>
        <w:ind w:firstLine="708"/>
        <w:jc w:val="both"/>
        <w:rPr>
          <w:b/>
        </w:rPr>
      </w:pPr>
      <w:r>
        <w:rPr>
          <w:b/>
        </w:rPr>
        <w:t>« Статья 4. Порядок определения  границ прилегающих территорий</w:t>
      </w:r>
    </w:p>
    <w:p w:rsidR="00984BF8" w:rsidRPr="004878EA" w:rsidRDefault="00984BF8" w:rsidP="00984BF8">
      <w:pPr>
        <w:spacing w:before="240"/>
        <w:ind w:firstLine="540"/>
        <w:jc w:val="both"/>
        <w:rPr>
          <w:sz w:val="20"/>
          <w:szCs w:val="20"/>
          <w:lang w:eastAsia="zh-CN"/>
        </w:rPr>
      </w:pPr>
      <w:r>
        <w:lastRenderedPageBreak/>
        <w:t>4.1</w:t>
      </w:r>
      <w:r w:rsidRPr="00887077">
        <w:t xml:space="preserve">. </w:t>
      </w:r>
      <w:r w:rsidRPr="004878EA">
        <w:rPr>
          <w:sz w:val="26"/>
          <w:szCs w:val="26"/>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984BF8" w:rsidRPr="004878EA" w:rsidRDefault="00984BF8" w:rsidP="00984BF8">
      <w:pPr>
        <w:spacing w:before="240"/>
        <w:ind w:firstLine="540"/>
        <w:jc w:val="both"/>
        <w:rPr>
          <w:sz w:val="20"/>
          <w:szCs w:val="20"/>
          <w:lang w:eastAsia="zh-CN"/>
        </w:rPr>
      </w:pPr>
      <w:r>
        <w:rPr>
          <w:sz w:val="26"/>
          <w:szCs w:val="26"/>
        </w:rPr>
        <w:t>4</w:t>
      </w:r>
      <w:r w:rsidRPr="004878EA">
        <w:rPr>
          <w:sz w:val="26"/>
          <w:szCs w:val="26"/>
        </w:rPr>
        <w:t>.2. При определении границ прилегающих территорий учитываются:</w:t>
      </w:r>
    </w:p>
    <w:p w:rsidR="00984BF8" w:rsidRPr="004878EA" w:rsidRDefault="00984BF8" w:rsidP="00984BF8">
      <w:pPr>
        <w:spacing w:before="240"/>
        <w:ind w:firstLine="540"/>
        <w:jc w:val="both"/>
        <w:rPr>
          <w:sz w:val="20"/>
          <w:szCs w:val="20"/>
          <w:lang w:eastAsia="zh-CN"/>
        </w:rPr>
      </w:pPr>
      <w:r>
        <w:rPr>
          <w:sz w:val="26"/>
          <w:szCs w:val="26"/>
        </w:rPr>
        <w:t>-</w:t>
      </w:r>
      <w:r w:rsidRPr="004878EA">
        <w:rPr>
          <w:sz w:val="26"/>
          <w:szCs w:val="26"/>
        </w:rPr>
        <w:t xml:space="preserve"> расстояние до рядом расположенного (соседнего) объекта, либо до границы прилегающей территории такого объекта, определенной ранее;</w:t>
      </w:r>
    </w:p>
    <w:p w:rsidR="00984BF8" w:rsidRPr="004878EA" w:rsidRDefault="00984BF8" w:rsidP="00984BF8">
      <w:pPr>
        <w:spacing w:before="240"/>
        <w:ind w:firstLine="540"/>
        <w:jc w:val="both"/>
        <w:rPr>
          <w:sz w:val="20"/>
          <w:szCs w:val="20"/>
          <w:lang w:eastAsia="zh-CN"/>
        </w:rPr>
      </w:pPr>
      <w:r>
        <w:rPr>
          <w:sz w:val="26"/>
          <w:szCs w:val="26"/>
        </w:rPr>
        <w:t>-</w:t>
      </w:r>
      <w:r w:rsidRPr="004878EA">
        <w:rPr>
          <w:sz w:val="26"/>
          <w:szCs w:val="26"/>
        </w:rPr>
        <w:t xml:space="preserve">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878EA">
        <w:rPr>
          <w:sz w:val="26"/>
          <w:szCs w:val="26"/>
        </w:rPr>
        <w:t>водоохранные</w:t>
      </w:r>
      <w:proofErr w:type="spellEnd"/>
      <w:r w:rsidRPr="004878EA">
        <w:rPr>
          <w:sz w:val="26"/>
          <w:szCs w:val="26"/>
        </w:rPr>
        <w:t xml:space="preserve"> зоны и иные зоны, устанавливаемые в соответствии с законодательством Российской Федерации).</w:t>
      </w:r>
    </w:p>
    <w:p w:rsidR="00984BF8" w:rsidRPr="00324CE1" w:rsidRDefault="00984BF8" w:rsidP="00984BF8">
      <w:pPr>
        <w:autoSpaceDE w:val="0"/>
        <w:ind w:firstLine="540"/>
        <w:jc w:val="both"/>
        <w:rPr>
          <w:sz w:val="26"/>
          <w:szCs w:val="26"/>
        </w:rPr>
      </w:pPr>
      <w:r w:rsidRPr="00324CE1">
        <w:rPr>
          <w:sz w:val="26"/>
          <w:szCs w:val="26"/>
        </w:rPr>
        <w:t>Расстояние от объектов до границ прилегающих территорий устанавливаются  настоящими Правилами в зависимости от предназначения объектов:</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1) для индивидуальных жилых домов и домов блокированной застройки: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 в случае</w:t>
      </w:r>
      <w:proofErr w:type="gramStart"/>
      <w:r w:rsidRPr="00324CE1">
        <w:rPr>
          <w:spacing w:val="2"/>
          <w:sz w:val="26"/>
          <w:szCs w:val="26"/>
        </w:rPr>
        <w:t>,</w:t>
      </w:r>
      <w:proofErr w:type="gramEnd"/>
      <w:r w:rsidRPr="00324CE1">
        <w:rPr>
          <w:spacing w:val="2"/>
          <w:sz w:val="26"/>
          <w:szCs w:val="26"/>
        </w:rPr>
        <w:t xml:space="preserve">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 в случае</w:t>
      </w:r>
      <w:proofErr w:type="gramStart"/>
      <w:r w:rsidRPr="00324CE1">
        <w:rPr>
          <w:spacing w:val="2"/>
          <w:sz w:val="26"/>
          <w:szCs w:val="26"/>
        </w:rPr>
        <w:t>,</w:t>
      </w:r>
      <w:proofErr w:type="gramEnd"/>
      <w:r w:rsidRPr="00324CE1">
        <w:rPr>
          <w:spacing w:val="2"/>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w:t>
      </w:r>
      <w:r>
        <w:rPr>
          <w:spacing w:val="2"/>
          <w:sz w:val="26"/>
          <w:szCs w:val="26"/>
        </w:rPr>
        <w:t>тен фундаментов этого дома, - 10</w:t>
      </w:r>
      <w:r w:rsidRPr="00324CE1">
        <w:rPr>
          <w:spacing w:val="2"/>
          <w:sz w:val="26"/>
          <w:szCs w:val="26"/>
        </w:rPr>
        <w:t xml:space="preserve"> метров по периметру стен дома;</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 в случае</w:t>
      </w:r>
      <w:proofErr w:type="gramStart"/>
      <w:r w:rsidRPr="00324CE1">
        <w:rPr>
          <w:spacing w:val="2"/>
          <w:sz w:val="26"/>
          <w:szCs w:val="26"/>
        </w:rPr>
        <w:t>,</w:t>
      </w:r>
      <w:proofErr w:type="gramEnd"/>
      <w:r w:rsidRPr="00324CE1">
        <w:rPr>
          <w:spacing w:val="2"/>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w:t>
      </w:r>
      <w:r>
        <w:rPr>
          <w:spacing w:val="2"/>
          <w:sz w:val="26"/>
          <w:szCs w:val="26"/>
        </w:rPr>
        <w:t>ственный кадастровый учет, -  5</w:t>
      </w:r>
      <w:r w:rsidRPr="00324CE1">
        <w:rPr>
          <w:spacing w:val="2"/>
          <w:sz w:val="26"/>
          <w:szCs w:val="26"/>
        </w:rPr>
        <w:t xml:space="preserve"> метров по периметру ограждения;</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2) для многоквартирных домов -  2 метра от границ земельных участков, на которых расположены многоквартирные дома;</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3) для нежилых зданий, пристроенных к многоквартирным домам, -  20 метров по периметру ограждающих конструкций (стен);</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 имеющих ограждение -  5 метров по периметру ограждения;</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5) для отдельно стоящих стационарных и нестационарных объектов потребительского рынка (киосков, пал</w:t>
      </w:r>
      <w:r>
        <w:rPr>
          <w:spacing w:val="2"/>
          <w:sz w:val="26"/>
          <w:szCs w:val="26"/>
        </w:rPr>
        <w:t xml:space="preserve">аток, павильонов, автомоек) - </w:t>
      </w:r>
      <w:r w:rsidRPr="00324CE1">
        <w:rPr>
          <w:spacing w:val="2"/>
          <w:sz w:val="26"/>
          <w:szCs w:val="26"/>
        </w:rPr>
        <w:t>5 метров по периметру такого объекта;</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6) для отдельно стоящей рекламной конструкции - 5 метров по периметру опоры рекламной конструкции;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7) для автостоянок -  15 метров по периметру автостоянки;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8) для промышленных объектов, включая объекты захоронения, хранения, обезвреживания, размещения отходов, -  50 метров по периметру ограждения указанных объектов;</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9) для строительных площадок - 15 метров по периметру ограждения строительной площадки;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lastRenderedPageBreak/>
        <w:t>10) для автозаправочных станций -  25 метров от границ земельных участков, предоставленных для их размещения;</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11) для розничных рынков, оптовых баз и складов -  20 метров от границ земельных участков, предоставленных для их размещения;</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- 10 метров по периметру контейнерной площадки;</w:t>
      </w:r>
    </w:p>
    <w:p w:rsidR="00984BF8" w:rsidRPr="00324CE1" w:rsidRDefault="00984BF8" w:rsidP="00984BF8">
      <w:pPr>
        <w:shd w:val="clear" w:color="auto" w:fill="FFFFFF"/>
        <w:jc w:val="both"/>
        <w:textAlignment w:val="baseline"/>
        <w:rPr>
          <w:spacing w:val="2"/>
          <w:sz w:val="26"/>
          <w:szCs w:val="26"/>
        </w:rPr>
      </w:pPr>
      <w:r w:rsidRPr="00324CE1">
        <w:rPr>
          <w:spacing w:val="2"/>
          <w:sz w:val="26"/>
          <w:szCs w:val="26"/>
        </w:rPr>
        <w:t>13) для кладбищ - 15 метров по периметру земельного участка, выделенного под размещение кладбища, а в случае наличия крематория -  50 метров от ограждающих конструкций (стен) объекта.</w:t>
      </w:r>
    </w:p>
    <w:p w:rsidR="00984BF8" w:rsidRDefault="00984BF8" w:rsidP="00984BF8">
      <w:pPr>
        <w:shd w:val="clear" w:color="auto" w:fill="FFFFFF"/>
        <w:jc w:val="both"/>
        <w:textAlignment w:val="baseline"/>
        <w:rPr>
          <w:sz w:val="26"/>
          <w:szCs w:val="26"/>
        </w:rPr>
      </w:pPr>
      <w:r>
        <w:rPr>
          <w:spacing w:val="2"/>
        </w:rPr>
        <w:t xml:space="preserve">         4.3. </w:t>
      </w:r>
      <w:r w:rsidRPr="004878EA">
        <w:rPr>
          <w:sz w:val="26"/>
          <w:szCs w:val="26"/>
        </w:rPr>
        <w:t>Для объект</w:t>
      </w:r>
      <w:r>
        <w:rPr>
          <w:sz w:val="26"/>
          <w:szCs w:val="26"/>
        </w:rPr>
        <w:t>ов, не установленных пунктом 4.2.</w:t>
      </w:r>
      <w:r w:rsidRPr="004878EA">
        <w:rPr>
          <w:sz w:val="26"/>
          <w:szCs w:val="26"/>
        </w:rPr>
        <w:t xml:space="preserve"> настоящих Правил, минимальные расстояния от объекта до границ прилегающей территории составляют 15 м</w:t>
      </w:r>
      <w:r>
        <w:rPr>
          <w:sz w:val="26"/>
          <w:szCs w:val="26"/>
        </w:rPr>
        <w:t>етров</w:t>
      </w:r>
      <w:r w:rsidRPr="004878EA">
        <w:rPr>
          <w:sz w:val="26"/>
          <w:szCs w:val="26"/>
        </w:rPr>
        <w:t>.</w:t>
      </w:r>
    </w:p>
    <w:p w:rsidR="00984BF8" w:rsidRDefault="00984BF8" w:rsidP="00984BF8">
      <w:pPr>
        <w:shd w:val="clear" w:color="auto" w:fill="FFFFFF"/>
        <w:jc w:val="both"/>
        <w:textAlignment w:val="baseline"/>
        <w:rPr>
          <w:sz w:val="26"/>
          <w:szCs w:val="26"/>
        </w:rPr>
      </w:pPr>
      <w:r>
        <w:rPr>
          <w:sz w:val="26"/>
          <w:szCs w:val="26"/>
        </w:rPr>
        <w:t xml:space="preserve">         </w:t>
      </w:r>
      <w:r>
        <w:rPr>
          <w:spacing w:val="2"/>
        </w:rPr>
        <w:t xml:space="preserve">4.4. </w:t>
      </w:r>
      <w:r w:rsidRPr="004878EA">
        <w:rPr>
          <w:sz w:val="26"/>
          <w:szCs w:val="26"/>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Pr>
          <w:sz w:val="26"/>
          <w:szCs w:val="26"/>
        </w:rPr>
        <w:t xml:space="preserve">    </w:t>
      </w:r>
    </w:p>
    <w:p w:rsidR="00984BF8" w:rsidRPr="004878EA" w:rsidRDefault="00984BF8" w:rsidP="00984BF8">
      <w:pPr>
        <w:shd w:val="clear" w:color="auto" w:fill="FFFFFF"/>
        <w:jc w:val="both"/>
        <w:textAlignment w:val="baseline"/>
        <w:rPr>
          <w:sz w:val="26"/>
          <w:szCs w:val="26"/>
        </w:rPr>
      </w:pPr>
      <w:r>
        <w:rPr>
          <w:sz w:val="26"/>
          <w:szCs w:val="26"/>
        </w:rPr>
        <w:t xml:space="preserve">         4.5</w:t>
      </w:r>
      <w:r w:rsidRPr="004878EA">
        <w:rPr>
          <w:sz w:val="26"/>
          <w:szCs w:val="26"/>
        </w:rPr>
        <w:t>.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w:t>
      </w:r>
      <w:r>
        <w:rPr>
          <w:sz w:val="26"/>
          <w:szCs w:val="26"/>
        </w:rPr>
        <w:t>унктами 4.2. и 4.3.</w:t>
      </w:r>
      <w:r w:rsidRPr="004878EA">
        <w:rPr>
          <w:sz w:val="26"/>
          <w:szCs w:val="26"/>
        </w:rPr>
        <w:t xml:space="preserve"> настоящих Правил.</w:t>
      </w:r>
    </w:p>
    <w:p w:rsidR="00984BF8" w:rsidRPr="004878EA" w:rsidRDefault="00984BF8" w:rsidP="00984BF8">
      <w:pPr>
        <w:spacing w:before="240"/>
        <w:ind w:firstLine="540"/>
        <w:jc w:val="both"/>
        <w:rPr>
          <w:sz w:val="20"/>
          <w:szCs w:val="20"/>
          <w:lang w:eastAsia="zh-CN"/>
        </w:rPr>
      </w:pPr>
      <w:r>
        <w:rPr>
          <w:sz w:val="26"/>
          <w:szCs w:val="26"/>
        </w:rPr>
        <w:t>4.6</w:t>
      </w:r>
      <w:r w:rsidRPr="004878EA">
        <w:rPr>
          <w:sz w:val="26"/>
          <w:szCs w:val="26"/>
        </w:rPr>
        <w:t>. При нахождении рядом двух и более граничащих (соседних) объектов границы прилегающих территорий между ними определяются с учетом:</w:t>
      </w:r>
    </w:p>
    <w:p w:rsidR="00984BF8" w:rsidRPr="004878EA" w:rsidRDefault="00984BF8" w:rsidP="00984BF8">
      <w:pPr>
        <w:spacing w:before="240"/>
        <w:ind w:firstLine="540"/>
        <w:jc w:val="both"/>
        <w:rPr>
          <w:sz w:val="20"/>
          <w:szCs w:val="20"/>
          <w:lang w:eastAsia="zh-CN"/>
        </w:rPr>
      </w:pPr>
      <w:r w:rsidRPr="004878EA">
        <w:rPr>
          <w:sz w:val="26"/>
          <w:szCs w:val="26"/>
        </w:rPr>
        <w:t>1) суммарного значения минимальных расстоя</w:t>
      </w:r>
      <w:r>
        <w:rPr>
          <w:sz w:val="26"/>
          <w:szCs w:val="26"/>
        </w:rPr>
        <w:t>ний, установленных подпунктами 4.2. и 4.3.</w:t>
      </w:r>
      <w:r w:rsidRPr="004878EA">
        <w:rPr>
          <w:sz w:val="26"/>
          <w:szCs w:val="26"/>
        </w:rPr>
        <w:t xml:space="preserve"> настоящих Правил;</w:t>
      </w:r>
    </w:p>
    <w:p w:rsidR="00984BF8" w:rsidRPr="004878EA" w:rsidRDefault="00984BF8" w:rsidP="00984BF8">
      <w:pPr>
        <w:spacing w:before="240"/>
        <w:ind w:firstLine="540"/>
        <w:jc w:val="both"/>
        <w:rPr>
          <w:sz w:val="20"/>
          <w:szCs w:val="20"/>
          <w:lang w:eastAsia="zh-CN"/>
        </w:rPr>
      </w:pPr>
      <w:r w:rsidRPr="004878EA">
        <w:rPr>
          <w:sz w:val="26"/>
          <w:szCs w:val="26"/>
        </w:rPr>
        <w:t>2) возможного максимального значения расстояния от объекта до границ прилегающей территории, определенно</w:t>
      </w:r>
      <w:r>
        <w:rPr>
          <w:sz w:val="26"/>
          <w:szCs w:val="26"/>
        </w:rPr>
        <w:t xml:space="preserve">го в соответствии с подпунктом 4.5. </w:t>
      </w:r>
      <w:r w:rsidRPr="004878EA">
        <w:rPr>
          <w:sz w:val="26"/>
          <w:szCs w:val="26"/>
        </w:rPr>
        <w:t>настоящих Правил;</w:t>
      </w:r>
    </w:p>
    <w:p w:rsidR="00984BF8" w:rsidRPr="004878EA" w:rsidRDefault="00984BF8" w:rsidP="00984BF8">
      <w:pPr>
        <w:spacing w:before="240"/>
        <w:ind w:firstLine="540"/>
        <w:jc w:val="both"/>
        <w:rPr>
          <w:sz w:val="20"/>
          <w:szCs w:val="20"/>
          <w:lang w:eastAsia="zh-CN"/>
        </w:rPr>
      </w:pPr>
      <w:r w:rsidRPr="004878EA">
        <w:rPr>
          <w:sz w:val="26"/>
          <w:szCs w:val="26"/>
        </w:rPr>
        <w:t>3) фактического расстояния до соседнего объекта, определенного в соответствии с под</w:t>
      </w:r>
      <w:r>
        <w:rPr>
          <w:sz w:val="26"/>
          <w:szCs w:val="26"/>
        </w:rPr>
        <w:t>пунктом 4.4</w:t>
      </w:r>
      <w:r w:rsidRPr="004878EA">
        <w:rPr>
          <w:sz w:val="26"/>
          <w:szCs w:val="26"/>
        </w:rPr>
        <w:t>. настоящих Правил.</w:t>
      </w:r>
    </w:p>
    <w:p w:rsidR="00984BF8" w:rsidRPr="004878EA" w:rsidRDefault="00984BF8" w:rsidP="00984BF8">
      <w:pPr>
        <w:spacing w:before="240"/>
        <w:ind w:firstLine="540"/>
        <w:jc w:val="both"/>
        <w:rPr>
          <w:sz w:val="20"/>
          <w:szCs w:val="20"/>
          <w:lang w:eastAsia="zh-CN"/>
        </w:rPr>
      </w:pPr>
      <w:r>
        <w:rPr>
          <w:sz w:val="26"/>
          <w:szCs w:val="26"/>
        </w:rPr>
        <w:t>4.7</w:t>
      </w:r>
      <w:r w:rsidRPr="004878EA">
        <w:rPr>
          <w:sz w:val="26"/>
          <w:szCs w:val="26"/>
        </w:rPr>
        <w:t>. В случае</w:t>
      </w:r>
      <w:proofErr w:type="gramStart"/>
      <w:r w:rsidRPr="004878EA">
        <w:rPr>
          <w:sz w:val="26"/>
          <w:szCs w:val="26"/>
        </w:rPr>
        <w:t>,</w:t>
      </w:r>
      <w:proofErr w:type="gramEnd"/>
      <w:r w:rsidRPr="004878EA">
        <w:rPr>
          <w:sz w:val="26"/>
          <w:szCs w:val="26"/>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84BF8" w:rsidRPr="004878EA" w:rsidRDefault="00984BF8" w:rsidP="00984BF8">
      <w:pPr>
        <w:spacing w:before="240"/>
        <w:ind w:firstLine="540"/>
        <w:jc w:val="both"/>
        <w:rPr>
          <w:sz w:val="20"/>
          <w:szCs w:val="20"/>
          <w:lang w:eastAsia="zh-CN"/>
        </w:rPr>
      </w:pPr>
      <w:r w:rsidRPr="004878EA">
        <w:rPr>
          <w:sz w:val="26"/>
          <w:szCs w:val="26"/>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984BF8" w:rsidRPr="004878EA" w:rsidRDefault="00984BF8" w:rsidP="00984BF8">
      <w:pPr>
        <w:spacing w:before="240"/>
        <w:ind w:firstLine="540"/>
        <w:jc w:val="both"/>
        <w:rPr>
          <w:sz w:val="20"/>
          <w:szCs w:val="20"/>
          <w:lang w:eastAsia="zh-CN"/>
        </w:rPr>
      </w:pPr>
      <w:proofErr w:type="gramStart"/>
      <w:r w:rsidRPr="004878EA">
        <w:rPr>
          <w:sz w:val="26"/>
          <w:szCs w:val="26"/>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w:t>
      </w:r>
      <w:r>
        <w:rPr>
          <w:sz w:val="26"/>
          <w:szCs w:val="26"/>
        </w:rPr>
        <w:t>и от установленных подпунктами 4.2 и 4.3</w:t>
      </w:r>
      <w:r w:rsidRPr="004878EA">
        <w:rPr>
          <w:sz w:val="26"/>
          <w:szCs w:val="26"/>
        </w:rPr>
        <w:t xml:space="preserve"> настоящих Правил расстояний от объектов до границ прилегающих территорий этих объектов;</w:t>
      </w:r>
      <w:proofErr w:type="gramEnd"/>
    </w:p>
    <w:p w:rsidR="00984BF8" w:rsidRPr="004878EA" w:rsidRDefault="00984BF8" w:rsidP="00984BF8">
      <w:pPr>
        <w:spacing w:before="240"/>
        <w:ind w:firstLine="540"/>
        <w:jc w:val="both"/>
        <w:rPr>
          <w:sz w:val="20"/>
          <w:szCs w:val="20"/>
          <w:lang w:eastAsia="zh-CN"/>
        </w:rPr>
      </w:pPr>
      <w:proofErr w:type="gramStart"/>
      <w:r w:rsidRPr="004878EA">
        <w:rPr>
          <w:sz w:val="26"/>
          <w:szCs w:val="26"/>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w:t>
      </w:r>
      <w:r w:rsidRPr="004878EA">
        <w:rPr>
          <w:sz w:val="26"/>
          <w:szCs w:val="26"/>
        </w:rPr>
        <w:lastRenderedPageBreak/>
        <w:t>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w:t>
      </w:r>
      <w:proofErr w:type="gramEnd"/>
      <w:r w:rsidRPr="004878EA">
        <w:rPr>
          <w:sz w:val="26"/>
          <w:szCs w:val="26"/>
        </w:rPr>
        <w:t xml:space="preserve"> дома, в отношении которого осуществлен государственный кадастровый учет.</w:t>
      </w:r>
    </w:p>
    <w:p w:rsidR="00984BF8" w:rsidRPr="004878EA" w:rsidRDefault="00984BF8" w:rsidP="00984BF8">
      <w:pPr>
        <w:spacing w:before="240"/>
        <w:ind w:firstLine="540"/>
        <w:jc w:val="both"/>
        <w:rPr>
          <w:sz w:val="20"/>
          <w:szCs w:val="20"/>
          <w:lang w:eastAsia="zh-CN"/>
        </w:rPr>
      </w:pPr>
      <w:r>
        <w:rPr>
          <w:sz w:val="26"/>
          <w:szCs w:val="26"/>
        </w:rPr>
        <w:t>4.8</w:t>
      </w:r>
      <w:r w:rsidRPr="004878EA">
        <w:rPr>
          <w:sz w:val="26"/>
          <w:szCs w:val="26"/>
        </w:rPr>
        <w:t>. В случае</w:t>
      </w:r>
      <w:proofErr w:type="gramStart"/>
      <w:r w:rsidRPr="004878EA">
        <w:rPr>
          <w:sz w:val="26"/>
          <w:szCs w:val="26"/>
        </w:rPr>
        <w:t>,</w:t>
      </w:r>
      <w:proofErr w:type="gramEnd"/>
      <w:r w:rsidRPr="004878EA">
        <w:rPr>
          <w:sz w:val="26"/>
          <w:szCs w:val="26"/>
        </w:rPr>
        <w:t xml:space="preserve"> если фактическое расстояние между двумя граничащими объектами более чем суммарное рассто</w:t>
      </w:r>
      <w:r>
        <w:rPr>
          <w:sz w:val="26"/>
          <w:szCs w:val="26"/>
        </w:rPr>
        <w:t>яние установленных подпунктами 4.2 и 4.3</w:t>
      </w:r>
      <w:r w:rsidRPr="004878EA">
        <w:rPr>
          <w:sz w:val="26"/>
          <w:szCs w:val="26"/>
        </w:rPr>
        <w:t xml:space="preserve">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w:t>
      </w:r>
      <w:r>
        <w:rPr>
          <w:sz w:val="26"/>
          <w:szCs w:val="26"/>
        </w:rPr>
        <w:t>в от установленных подпунктами 4.2 и 4.3</w:t>
      </w:r>
      <w:r w:rsidRPr="004878EA">
        <w:rPr>
          <w:sz w:val="26"/>
          <w:szCs w:val="26"/>
        </w:rPr>
        <w:t xml:space="preserve"> настоящих Правил минимальных расстояний от объекта до границ прилегающих территорий по каждому из объектов.</w:t>
      </w:r>
    </w:p>
    <w:p w:rsidR="00984BF8" w:rsidRPr="004878EA" w:rsidRDefault="00984BF8" w:rsidP="00984BF8">
      <w:pPr>
        <w:spacing w:before="240"/>
        <w:ind w:firstLine="540"/>
        <w:jc w:val="both"/>
        <w:rPr>
          <w:sz w:val="20"/>
          <w:szCs w:val="20"/>
          <w:lang w:eastAsia="zh-CN"/>
        </w:rPr>
      </w:pPr>
      <w:r w:rsidRPr="004878EA">
        <w:rPr>
          <w:sz w:val="26"/>
          <w:szCs w:val="26"/>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984BF8" w:rsidRPr="004878EA" w:rsidRDefault="00984BF8" w:rsidP="00984BF8">
      <w:pPr>
        <w:spacing w:before="240"/>
        <w:ind w:firstLine="540"/>
        <w:jc w:val="both"/>
        <w:rPr>
          <w:sz w:val="26"/>
          <w:szCs w:val="26"/>
          <w:lang w:eastAsia="zh-CN"/>
        </w:rPr>
      </w:pPr>
      <w:r>
        <w:rPr>
          <w:sz w:val="26"/>
          <w:szCs w:val="26"/>
        </w:rPr>
        <w:t>4.9</w:t>
      </w:r>
      <w:r w:rsidRPr="004878EA">
        <w:rPr>
          <w:sz w:val="26"/>
          <w:szCs w:val="26"/>
        </w:rPr>
        <w:t>.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984BF8" w:rsidRPr="004878EA" w:rsidRDefault="00984BF8" w:rsidP="00984BF8">
      <w:pPr>
        <w:spacing w:before="240"/>
        <w:ind w:firstLine="540"/>
        <w:jc w:val="both"/>
        <w:rPr>
          <w:sz w:val="20"/>
          <w:szCs w:val="20"/>
          <w:lang w:eastAsia="zh-CN"/>
        </w:rPr>
      </w:pPr>
      <w:r w:rsidRPr="004878EA">
        <w:rPr>
          <w:sz w:val="26"/>
          <w:szCs w:val="26"/>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w:t>
      </w:r>
      <w:r>
        <w:rPr>
          <w:sz w:val="26"/>
          <w:szCs w:val="26"/>
        </w:rPr>
        <w:t>о в соответствии с подпунктами 4.2 и 4.3</w:t>
      </w:r>
      <w:r w:rsidRPr="004878EA">
        <w:rPr>
          <w:sz w:val="26"/>
          <w:szCs w:val="26"/>
        </w:rPr>
        <w:t xml:space="preserve"> настоящих Правил;</w:t>
      </w:r>
    </w:p>
    <w:p w:rsidR="00984BF8" w:rsidRPr="004878EA" w:rsidRDefault="00984BF8" w:rsidP="00984BF8">
      <w:pPr>
        <w:spacing w:before="240"/>
        <w:ind w:firstLine="540"/>
        <w:jc w:val="both"/>
        <w:rPr>
          <w:sz w:val="20"/>
          <w:szCs w:val="20"/>
          <w:lang w:eastAsia="zh-CN"/>
        </w:rPr>
      </w:pPr>
      <w:r w:rsidRPr="004878EA">
        <w:rPr>
          <w:sz w:val="26"/>
          <w:szCs w:val="26"/>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w:t>
      </w:r>
      <w:r>
        <w:rPr>
          <w:sz w:val="26"/>
          <w:szCs w:val="26"/>
        </w:rPr>
        <w:t>о в соответствии с подпунктами 4.2 и 4.3</w:t>
      </w:r>
      <w:r w:rsidRPr="004878EA">
        <w:rPr>
          <w:sz w:val="26"/>
          <w:szCs w:val="26"/>
        </w:rPr>
        <w:t xml:space="preserve"> настоящих Правил.</w:t>
      </w:r>
    </w:p>
    <w:p w:rsidR="00984BF8" w:rsidRPr="004878EA" w:rsidRDefault="00984BF8" w:rsidP="00984BF8">
      <w:pPr>
        <w:spacing w:before="240"/>
        <w:ind w:firstLine="540"/>
        <w:jc w:val="both"/>
        <w:rPr>
          <w:sz w:val="20"/>
          <w:szCs w:val="20"/>
          <w:lang w:eastAsia="zh-CN"/>
        </w:rPr>
      </w:pPr>
      <w:r>
        <w:rPr>
          <w:sz w:val="26"/>
          <w:szCs w:val="26"/>
        </w:rPr>
        <w:t>4.10.</w:t>
      </w:r>
      <w:r w:rsidRPr="004878EA">
        <w:rPr>
          <w:sz w:val="26"/>
          <w:szCs w:val="26"/>
        </w:rPr>
        <w:t xml:space="preserve"> В случае</w:t>
      </w:r>
      <w:proofErr w:type="gramStart"/>
      <w:r w:rsidRPr="004878EA">
        <w:rPr>
          <w:sz w:val="26"/>
          <w:szCs w:val="26"/>
        </w:rPr>
        <w:t>,</w:t>
      </w:r>
      <w:proofErr w:type="gramEnd"/>
      <w:r w:rsidRPr="004878EA">
        <w:rPr>
          <w:sz w:val="26"/>
          <w:szCs w:val="26"/>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4878EA">
        <w:rPr>
          <w:sz w:val="26"/>
          <w:szCs w:val="26"/>
        </w:rPr>
        <w:t>водоохранные</w:t>
      </w:r>
      <w:proofErr w:type="spellEnd"/>
      <w:r w:rsidRPr="004878EA">
        <w:rPr>
          <w:sz w:val="26"/>
          <w:szCs w:val="26"/>
        </w:rPr>
        <w:t xml:space="preserve">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w:t>
      </w:r>
      <w:r>
        <w:rPr>
          <w:sz w:val="26"/>
          <w:szCs w:val="26"/>
        </w:rPr>
        <w:t>ия, установленного подпунктом  4.5</w:t>
      </w:r>
      <w:r w:rsidRPr="004878EA">
        <w:rPr>
          <w:sz w:val="26"/>
          <w:szCs w:val="26"/>
        </w:rPr>
        <w:t xml:space="preserve"> настоящих Правил.</w:t>
      </w:r>
      <w:r>
        <w:rPr>
          <w:sz w:val="26"/>
          <w:szCs w:val="26"/>
        </w:rPr>
        <w:t>»</w:t>
      </w:r>
    </w:p>
    <w:p w:rsidR="00984BF8" w:rsidRPr="002E3452" w:rsidRDefault="00984BF8" w:rsidP="00984BF8">
      <w:pPr>
        <w:shd w:val="clear" w:color="auto" w:fill="FFFFFF"/>
        <w:jc w:val="both"/>
        <w:textAlignment w:val="baseline"/>
        <w:rPr>
          <w:b/>
          <w:sz w:val="26"/>
          <w:szCs w:val="26"/>
        </w:rPr>
      </w:pPr>
      <w:r>
        <w:rPr>
          <w:sz w:val="26"/>
          <w:szCs w:val="26"/>
        </w:rPr>
        <w:t xml:space="preserve">          </w:t>
      </w:r>
      <w:r w:rsidRPr="002E3452">
        <w:rPr>
          <w:b/>
          <w:sz w:val="26"/>
          <w:szCs w:val="26"/>
        </w:rPr>
        <w:t>3) Дополнить статьей 4.1 следующего содержания:</w:t>
      </w:r>
    </w:p>
    <w:p w:rsidR="00984BF8" w:rsidRPr="002E3452" w:rsidRDefault="00984BF8" w:rsidP="00984BF8">
      <w:pPr>
        <w:spacing w:before="240"/>
        <w:ind w:firstLine="540"/>
        <w:jc w:val="both"/>
        <w:rPr>
          <w:sz w:val="20"/>
          <w:szCs w:val="20"/>
          <w:lang w:eastAsia="zh-CN"/>
        </w:rPr>
      </w:pPr>
      <w:r>
        <w:rPr>
          <w:b/>
          <w:bCs/>
          <w:sz w:val="26"/>
          <w:szCs w:val="26"/>
        </w:rPr>
        <w:t>«Статья</w:t>
      </w:r>
      <w:r w:rsidRPr="002E3452">
        <w:rPr>
          <w:b/>
          <w:bCs/>
          <w:sz w:val="26"/>
          <w:szCs w:val="26"/>
        </w:rPr>
        <w:t xml:space="preserve"> 4.</w:t>
      </w:r>
      <w:r>
        <w:rPr>
          <w:b/>
          <w:bCs/>
          <w:sz w:val="26"/>
          <w:szCs w:val="26"/>
        </w:rPr>
        <w:t>1</w:t>
      </w:r>
      <w:r w:rsidRPr="002E3452">
        <w:rPr>
          <w:b/>
          <w:bCs/>
          <w:sz w:val="26"/>
          <w:szCs w:val="26"/>
        </w:rPr>
        <w:t xml:space="preserve"> Порядок участия физических и юридических лиц в благоустройстве прилегающих территорий</w:t>
      </w:r>
    </w:p>
    <w:p w:rsidR="00984BF8" w:rsidRPr="002E3452" w:rsidRDefault="00984BF8" w:rsidP="00984BF8">
      <w:pPr>
        <w:spacing w:before="240"/>
        <w:ind w:firstLine="540"/>
        <w:jc w:val="both"/>
        <w:rPr>
          <w:sz w:val="20"/>
          <w:szCs w:val="20"/>
          <w:lang w:eastAsia="zh-CN"/>
        </w:rPr>
      </w:pPr>
      <w:r w:rsidRPr="002E3452">
        <w:rPr>
          <w:sz w:val="26"/>
          <w:szCs w:val="26"/>
        </w:rPr>
        <w:t xml:space="preserve">4.1. </w:t>
      </w:r>
      <w:proofErr w:type="gramStart"/>
      <w:r w:rsidRPr="002E3452">
        <w:rPr>
          <w:sz w:val="26"/>
          <w:szCs w:val="26"/>
        </w:rPr>
        <w:t>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roofErr w:type="gramEnd"/>
    </w:p>
    <w:p w:rsidR="00984BF8" w:rsidRPr="002E3452" w:rsidRDefault="00984BF8" w:rsidP="00984BF8">
      <w:pPr>
        <w:suppressAutoHyphens/>
        <w:spacing w:before="240"/>
        <w:ind w:firstLine="540"/>
        <w:jc w:val="both"/>
        <w:rPr>
          <w:sz w:val="20"/>
          <w:szCs w:val="20"/>
          <w:lang w:eastAsia="zh-CN"/>
        </w:rPr>
      </w:pPr>
      <w:r w:rsidRPr="002E3452">
        <w:rPr>
          <w:sz w:val="26"/>
          <w:szCs w:val="26"/>
        </w:rPr>
        <w:lastRenderedPageBreak/>
        <w:t>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w:t>
      </w:r>
      <w:proofErr w:type="gramStart"/>
      <w:r w:rsidRPr="002E3452">
        <w:rPr>
          <w:sz w:val="26"/>
          <w:szCs w:val="26"/>
        </w:rPr>
        <w:t>дств в с</w:t>
      </w:r>
      <w:proofErr w:type="gramEnd"/>
      <w:r w:rsidRPr="002E3452">
        <w:rPr>
          <w:sz w:val="26"/>
          <w:szCs w:val="26"/>
        </w:rPr>
        <w:t>оответствии с СанПиН 2.2.1/2.1.1.1200-03,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984BF8" w:rsidRPr="002E3452" w:rsidRDefault="00984BF8" w:rsidP="00984BF8">
      <w:pPr>
        <w:spacing w:before="240"/>
        <w:ind w:firstLine="540"/>
        <w:jc w:val="both"/>
        <w:rPr>
          <w:lang w:eastAsia="zh-CN"/>
        </w:rPr>
      </w:pPr>
      <w:r w:rsidRPr="002E3452">
        <w:rPr>
          <w:sz w:val="26"/>
          <w:szCs w:val="26"/>
        </w:rPr>
        <w:t xml:space="preserve">4.3. </w:t>
      </w:r>
      <w:proofErr w:type="gramStart"/>
      <w:r w:rsidRPr="002E3452">
        <w:rPr>
          <w:sz w:val="26"/>
          <w:szCs w:val="26"/>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w:t>
      </w:r>
      <w:r>
        <w:rPr>
          <w:sz w:val="26"/>
          <w:szCs w:val="26"/>
        </w:rPr>
        <w:t xml:space="preserve"> в статье 3 </w:t>
      </w:r>
      <w:r w:rsidRPr="002E3452">
        <w:rPr>
          <w:sz w:val="26"/>
          <w:szCs w:val="26"/>
        </w:rPr>
        <w:t>настоящих Правил и не отнесенные в соответствии с настоящими Правилами к прилегающим территориям.</w:t>
      </w:r>
      <w:proofErr w:type="gramEnd"/>
    </w:p>
    <w:p w:rsidR="00984BF8" w:rsidRPr="002E3452" w:rsidRDefault="00984BF8" w:rsidP="00984BF8">
      <w:pPr>
        <w:spacing w:before="240"/>
        <w:ind w:firstLine="540"/>
        <w:jc w:val="both"/>
        <w:rPr>
          <w:sz w:val="20"/>
          <w:szCs w:val="20"/>
          <w:lang w:eastAsia="zh-CN"/>
        </w:rPr>
      </w:pPr>
      <w:r w:rsidRPr="002E3452">
        <w:rPr>
          <w:sz w:val="26"/>
          <w:szCs w:val="26"/>
          <w:lang w:eastAsia="zh-CN"/>
        </w:rPr>
        <w:t>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rsidR="00984BF8" w:rsidRPr="002E3452" w:rsidRDefault="00984BF8" w:rsidP="00984BF8">
      <w:pPr>
        <w:spacing w:before="240"/>
        <w:ind w:firstLine="540"/>
        <w:jc w:val="both"/>
        <w:rPr>
          <w:sz w:val="20"/>
          <w:szCs w:val="20"/>
          <w:lang w:eastAsia="zh-CN"/>
        </w:rPr>
      </w:pPr>
      <w:r w:rsidRPr="002E3452">
        <w:rPr>
          <w:sz w:val="26"/>
          <w:szCs w:val="26"/>
          <w:lang w:eastAsia="zh-CN"/>
        </w:rPr>
        <w:t xml:space="preserve">Содержание прилегающей территории </w:t>
      </w:r>
      <w:bookmarkStart w:id="1" w:name="sub_237"/>
      <w:r w:rsidRPr="002E3452">
        <w:rPr>
          <w:sz w:val="26"/>
          <w:szCs w:val="26"/>
          <w:lang w:eastAsia="zh-CN"/>
        </w:rPr>
        <w:t>осуществляется по взаимной договоренности между собственниками, пользователями земельного участка, строения (здания, сооружения)</w:t>
      </w:r>
      <w:bookmarkEnd w:id="1"/>
      <w:proofErr w:type="gramStart"/>
      <w:r w:rsidRPr="002E3452">
        <w:rPr>
          <w:sz w:val="26"/>
          <w:szCs w:val="26"/>
          <w:lang w:eastAsia="zh-CN"/>
        </w:rPr>
        <w:t>.</w:t>
      </w:r>
      <w:r>
        <w:rPr>
          <w:sz w:val="26"/>
          <w:szCs w:val="26"/>
          <w:lang w:eastAsia="zh-CN"/>
        </w:rPr>
        <w:t>»</w:t>
      </w:r>
      <w:proofErr w:type="gramEnd"/>
    </w:p>
    <w:p w:rsidR="00984BF8" w:rsidRPr="00283D02" w:rsidRDefault="00984BF8" w:rsidP="00984BF8">
      <w:pPr>
        <w:autoSpaceDE w:val="0"/>
        <w:jc w:val="center"/>
      </w:pPr>
    </w:p>
    <w:p w:rsidR="00984BF8" w:rsidRPr="00A15C18" w:rsidRDefault="00984BF8" w:rsidP="00984BF8">
      <w:pPr>
        <w:jc w:val="both"/>
      </w:pPr>
      <w:r>
        <w:t xml:space="preserve">         </w:t>
      </w:r>
      <w:r w:rsidRPr="00A15C18">
        <w:t xml:space="preserve">2. Направить настоящее решение в Административную комиссию администрации </w:t>
      </w:r>
      <w:proofErr w:type="spellStart"/>
      <w:r w:rsidRPr="00A15C18">
        <w:t>Яковлевского</w:t>
      </w:r>
      <w:proofErr w:type="spellEnd"/>
      <w:r w:rsidRPr="00A15C18">
        <w:t xml:space="preserve"> муниципального района.</w:t>
      </w:r>
    </w:p>
    <w:p w:rsidR="00984BF8" w:rsidRPr="00A15C18" w:rsidRDefault="00984BF8" w:rsidP="00984BF8">
      <w:pPr>
        <w:tabs>
          <w:tab w:val="left" w:pos="0"/>
        </w:tabs>
        <w:jc w:val="both"/>
      </w:pPr>
      <w:r w:rsidRPr="00A15C18">
        <w:t xml:space="preserve">         3. Настоящее решение подлежит опубликованию в печатном общественно-информационном издании </w:t>
      </w:r>
      <w:proofErr w:type="spellStart"/>
      <w:r w:rsidRPr="00A15C18">
        <w:t>Новосысоевского</w:t>
      </w:r>
      <w:proofErr w:type="spellEnd"/>
      <w:r w:rsidRPr="00A15C18">
        <w:t xml:space="preserve"> сельского поселения и размещению на официальном сайте администрации  </w:t>
      </w:r>
      <w:proofErr w:type="spellStart"/>
      <w:r w:rsidRPr="00A15C18">
        <w:t>Новосысоевского</w:t>
      </w:r>
      <w:proofErr w:type="spellEnd"/>
      <w:r w:rsidRPr="00A15C18">
        <w:t xml:space="preserve"> сельского поселения. </w:t>
      </w:r>
    </w:p>
    <w:p w:rsidR="00984BF8" w:rsidRDefault="00984BF8" w:rsidP="00984BF8">
      <w:pPr>
        <w:tabs>
          <w:tab w:val="left" w:pos="0"/>
        </w:tabs>
        <w:jc w:val="both"/>
      </w:pPr>
      <w:r w:rsidRPr="00A15C18">
        <w:t xml:space="preserve">         4. Настоящее решение вступает в силу со дня его официального опубликования.</w:t>
      </w:r>
    </w:p>
    <w:p w:rsidR="00984BF8" w:rsidRDefault="00984BF8" w:rsidP="00984BF8">
      <w:pPr>
        <w:tabs>
          <w:tab w:val="left" w:pos="0"/>
        </w:tabs>
        <w:jc w:val="both"/>
      </w:pPr>
    </w:p>
    <w:p w:rsidR="00984BF8" w:rsidRPr="00A15C18" w:rsidRDefault="00984BF8" w:rsidP="00984BF8">
      <w:pPr>
        <w:tabs>
          <w:tab w:val="left" w:pos="0"/>
        </w:tabs>
        <w:jc w:val="both"/>
      </w:pPr>
    </w:p>
    <w:p w:rsidR="00984BF8" w:rsidRPr="00A15C18" w:rsidRDefault="00984BF8" w:rsidP="00984BF8">
      <w:pPr>
        <w:jc w:val="both"/>
        <w:rPr>
          <w:b/>
        </w:rPr>
      </w:pPr>
      <w:r w:rsidRPr="00A15C18">
        <w:rPr>
          <w:b/>
          <w:i/>
        </w:rPr>
        <w:t xml:space="preserve"> </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360"/>
        <w:gridCol w:w="1800"/>
        <w:gridCol w:w="281"/>
        <w:gridCol w:w="2700"/>
      </w:tblGrid>
      <w:tr w:rsidR="00984BF8" w:rsidRPr="00A15C18" w:rsidTr="001029C4">
        <w:trPr>
          <w:jc w:val="center"/>
        </w:trPr>
        <w:tc>
          <w:tcPr>
            <w:tcW w:w="5325" w:type="dxa"/>
            <w:tcBorders>
              <w:top w:val="nil"/>
              <w:left w:val="nil"/>
              <w:bottom w:val="nil"/>
              <w:right w:val="nil"/>
            </w:tcBorders>
          </w:tcPr>
          <w:p w:rsidR="00984BF8" w:rsidRPr="00A15C18" w:rsidRDefault="00984BF8" w:rsidP="001029C4">
            <w:pPr>
              <w:tabs>
                <w:tab w:val="left" w:pos="1575"/>
              </w:tabs>
              <w:rPr>
                <w:b/>
              </w:rPr>
            </w:pPr>
            <w:r w:rsidRPr="00A15C18">
              <w:rPr>
                <w:b/>
              </w:rPr>
              <w:t>Глава</w:t>
            </w:r>
          </w:p>
        </w:tc>
        <w:tc>
          <w:tcPr>
            <w:tcW w:w="360" w:type="dxa"/>
            <w:tcBorders>
              <w:top w:val="nil"/>
              <w:left w:val="nil"/>
              <w:bottom w:val="nil"/>
              <w:right w:val="nil"/>
            </w:tcBorders>
          </w:tcPr>
          <w:p w:rsidR="00984BF8" w:rsidRPr="00A15C18" w:rsidRDefault="00984BF8" w:rsidP="001029C4">
            <w:pPr>
              <w:tabs>
                <w:tab w:val="left" w:pos="1575"/>
              </w:tabs>
            </w:pPr>
          </w:p>
        </w:tc>
        <w:tc>
          <w:tcPr>
            <w:tcW w:w="1800" w:type="dxa"/>
            <w:tcBorders>
              <w:top w:val="nil"/>
              <w:left w:val="nil"/>
              <w:bottom w:val="single" w:sz="4" w:space="0" w:color="auto"/>
              <w:right w:val="nil"/>
            </w:tcBorders>
          </w:tcPr>
          <w:p w:rsidR="00984BF8" w:rsidRPr="00A15C18" w:rsidRDefault="00984BF8" w:rsidP="001029C4">
            <w:pPr>
              <w:tabs>
                <w:tab w:val="left" w:pos="1575"/>
              </w:tabs>
            </w:pPr>
          </w:p>
        </w:tc>
        <w:tc>
          <w:tcPr>
            <w:tcW w:w="281" w:type="dxa"/>
            <w:tcBorders>
              <w:top w:val="nil"/>
              <w:left w:val="nil"/>
              <w:bottom w:val="nil"/>
              <w:right w:val="nil"/>
            </w:tcBorders>
          </w:tcPr>
          <w:p w:rsidR="00984BF8" w:rsidRPr="00A15C18" w:rsidRDefault="00984BF8" w:rsidP="001029C4">
            <w:pPr>
              <w:tabs>
                <w:tab w:val="left" w:pos="1575"/>
              </w:tabs>
            </w:pPr>
          </w:p>
        </w:tc>
        <w:tc>
          <w:tcPr>
            <w:tcW w:w="2700" w:type="dxa"/>
            <w:tcBorders>
              <w:top w:val="nil"/>
              <w:left w:val="nil"/>
              <w:bottom w:val="single" w:sz="4" w:space="0" w:color="auto"/>
              <w:right w:val="nil"/>
            </w:tcBorders>
            <w:vAlign w:val="bottom"/>
          </w:tcPr>
          <w:p w:rsidR="00984BF8" w:rsidRPr="00A15C18" w:rsidRDefault="00984BF8" w:rsidP="001029C4">
            <w:pPr>
              <w:tabs>
                <w:tab w:val="left" w:pos="1873"/>
              </w:tabs>
              <w:rPr>
                <w:b/>
              </w:rPr>
            </w:pPr>
            <w:r w:rsidRPr="00A15C18">
              <w:rPr>
                <w:b/>
              </w:rPr>
              <w:t xml:space="preserve">А.В. ЛУТЧЕНКО </w:t>
            </w:r>
          </w:p>
        </w:tc>
      </w:tr>
      <w:tr w:rsidR="00984BF8" w:rsidRPr="00A15C18" w:rsidTr="001029C4">
        <w:trPr>
          <w:jc w:val="center"/>
        </w:trPr>
        <w:tc>
          <w:tcPr>
            <w:tcW w:w="5325" w:type="dxa"/>
            <w:tcBorders>
              <w:top w:val="nil"/>
              <w:left w:val="nil"/>
              <w:bottom w:val="nil"/>
              <w:right w:val="nil"/>
            </w:tcBorders>
          </w:tcPr>
          <w:p w:rsidR="00984BF8" w:rsidRPr="00A15C18" w:rsidRDefault="00984BF8" w:rsidP="001029C4">
            <w:pPr>
              <w:tabs>
                <w:tab w:val="left" w:pos="1575"/>
              </w:tabs>
              <w:rPr>
                <w:b/>
              </w:rPr>
            </w:pPr>
            <w:proofErr w:type="spellStart"/>
            <w:r w:rsidRPr="00A15C18">
              <w:rPr>
                <w:b/>
              </w:rPr>
              <w:t>Новосысоевского</w:t>
            </w:r>
            <w:proofErr w:type="spellEnd"/>
            <w:r w:rsidRPr="00A15C18">
              <w:rPr>
                <w:b/>
              </w:rPr>
              <w:t xml:space="preserve"> сельского поселения</w:t>
            </w:r>
          </w:p>
        </w:tc>
        <w:tc>
          <w:tcPr>
            <w:tcW w:w="360" w:type="dxa"/>
            <w:tcBorders>
              <w:top w:val="nil"/>
              <w:left w:val="nil"/>
              <w:bottom w:val="nil"/>
              <w:right w:val="nil"/>
            </w:tcBorders>
          </w:tcPr>
          <w:p w:rsidR="00984BF8" w:rsidRPr="00A15C18" w:rsidRDefault="00984BF8" w:rsidP="001029C4">
            <w:pPr>
              <w:tabs>
                <w:tab w:val="left" w:pos="1575"/>
              </w:tabs>
            </w:pPr>
          </w:p>
        </w:tc>
        <w:tc>
          <w:tcPr>
            <w:tcW w:w="1800" w:type="dxa"/>
            <w:tcBorders>
              <w:top w:val="single" w:sz="4" w:space="0" w:color="auto"/>
              <w:left w:val="nil"/>
              <w:bottom w:val="nil"/>
              <w:right w:val="nil"/>
            </w:tcBorders>
          </w:tcPr>
          <w:p w:rsidR="00984BF8" w:rsidRPr="00A15C18" w:rsidRDefault="00984BF8" w:rsidP="001029C4">
            <w:pPr>
              <w:tabs>
                <w:tab w:val="left" w:pos="1575"/>
              </w:tabs>
              <w:jc w:val="center"/>
            </w:pPr>
            <w:r w:rsidRPr="00A15C18">
              <w:t>подпись</w:t>
            </w:r>
          </w:p>
        </w:tc>
        <w:tc>
          <w:tcPr>
            <w:tcW w:w="281" w:type="dxa"/>
            <w:tcBorders>
              <w:top w:val="nil"/>
              <w:left w:val="nil"/>
              <w:bottom w:val="nil"/>
              <w:right w:val="nil"/>
            </w:tcBorders>
          </w:tcPr>
          <w:p w:rsidR="00984BF8" w:rsidRPr="00A15C18" w:rsidRDefault="00984BF8" w:rsidP="001029C4">
            <w:pPr>
              <w:tabs>
                <w:tab w:val="left" w:pos="1575"/>
              </w:tabs>
            </w:pPr>
          </w:p>
        </w:tc>
        <w:tc>
          <w:tcPr>
            <w:tcW w:w="2700" w:type="dxa"/>
            <w:tcBorders>
              <w:top w:val="single" w:sz="4" w:space="0" w:color="auto"/>
              <w:left w:val="nil"/>
              <w:bottom w:val="nil"/>
              <w:right w:val="nil"/>
            </w:tcBorders>
          </w:tcPr>
          <w:p w:rsidR="00984BF8" w:rsidRPr="00A15C18" w:rsidRDefault="00984BF8" w:rsidP="001029C4">
            <w:pPr>
              <w:tabs>
                <w:tab w:val="left" w:pos="1575"/>
              </w:tabs>
              <w:jc w:val="center"/>
            </w:pPr>
            <w:r w:rsidRPr="00A15C18">
              <w:t>расшифровка подписи</w:t>
            </w:r>
          </w:p>
        </w:tc>
      </w:tr>
    </w:tbl>
    <w:p w:rsidR="00984BF8" w:rsidRDefault="00984BF8" w:rsidP="00984BF8">
      <w:pPr>
        <w:ind w:firstLine="720"/>
        <w:jc w:val="center"/>
      </w:pPr>
    </w:p>
    <w:p w:rsidR="001D6212" w:rsidRDefault="001D6212"/>
    <w:sectPr w:rsidR="001D6212" w:rsidSect="00102ACC">
      <w:pgSz w:w="11906" w:h="16838"/>
      <w:pgMar w:top="568" w:right="851" w:bottom="426"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4F"/>
    <w:rsid w:val="001D6212"/>
    <w:rsid w:val="001F254F"/>
    <w:rsid w:val="0098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4BF8"/>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4BF8"/>
    <w:rPr>
      <w:rFonts w:ascii="Times New Roman" w:eastAsia="Times New Roman" w:hAnsi="Times New Roman" w:cs="Times New Roman"/>
      <w:b/>
      <w:sz w:val="32"/>
      <w:szCs w:val="32"/>
      <w:lang w:eastAsia="ru-RU"/>
    </w:rPr>
  </w:style>
  <w:style w:type="paragraph" w:styleId="a3">
    <w:name w:val="Body Text"/>
    <w:basedOn w:val="a"/>
    <w:link w:val="a4"/>
    <w:rsid w:val="00984BF8"/>
    <w:pPr>
      <w:jc w:val="both"/>
    </w:pPr>
    <w:rPr>
      <w:bCs/>
    </w:rPr>
  </w:style>
  <w:style w:type="character" w:customStyle="1" w:styleId="a4">
    <w:name w:val="Основной текст Знак"/>
    <w:basedOn w:val="a0"/>
    <w:link w:val="a3"/>
    <w:rsid w:val="00984BF8"/>
    <w:rPr>
      <w:rFonts w:ascii="Times New Roman" w:eastAsia="Times New Roman" w:hAnsi="Times New Roman" w:cs="Times New Roman"/>
      <w:bCs/>
      <w:sz w:val="24"/>
      <w:szCs w:val="24"/>
      <w:lang w:eastAsia="ru-RU"/>
    </w:rPr>
  </w:style>
  <w:style w:type="paragraph" w:styleId="a5">
    <w:name w:val="Body Text Indent"/>
    <w:basedOn w:val="a"/>
    <w:link w:val="a6"/>
    <w:rsid w:val="00984BF8"/>
    <w:pPr>
      <w:ind w:firstLine="708"/>
    </w:pPr>
    <w:rPr>
      <w:i/>
      <w:sz w:val="28"/>
      <w:szCs w:val="20"/>
    </w:rPr>
  </w:style>
  <w:style w:type="character" w:customStyle="1" w:styleId="a6">
    <w:name w:val="Основной текст с отступом Знак"/>
    <w:basedOn w:val="a0"/>
    <w:link w:val="a5"/>
    <w:rsid w:val="00984BF8"/>
    <w:rPr>
      <w:rFonts w:ascii="Times New Roman" w:eastAsia="Times New Roman" w:hAnsi="Times New Roman" w:cs="Times New Roman"/>
      <w:i/>
      <w:sz w:val="28"/>
      <w:szCs w:val="20"/>
      <w:lang w:eastAsia="ru-RU"/>
    </w:rPr>
  </w:style>
  <w:style w:type="paragraph" w:styleId="a7">
    <w:name w:val="Balloon Text"/>
    <w:basedOn w:val="a"/>
    <w:link w:val="a8"/>
    <w:uiPriority w:val="99"/>
    <w:semiHidden/>
    <w:unhideWhenUsed/>
    <w:rsid w:val="00984BF8"/>
    <w:rPr>
      <w:rFonts w:ascii="Tahoma" w:hAnsi="Tahoma" w:cs="Tahoma"/>
      <w:sz w:val="16"/>
      <w:szCs w:val="16"/>
    </w:rPr>
  </w:style>
  <w:style w:type="character" w:customStyle="1" w:styleId="a8">
    <w:name w:val="Текст выноски Знак"/>
    <w:basedOn w:val="a0"/>
    <w:link w:val="a7"/>
    <w:uiPriority w:val="99"/>
    <w:semiHidden/>
    <w:rsid w:val="00984B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4BF8"/>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4BF8"/>
    <w:rPr>
      <w:rFonts w:ascii="Times New Roman" w:eastAsia="Times New Roman" w:hAnsi="Times New Roman" w:cs="Times New Roman"/>
      <w:b/>
      <w:sz w:val="32"/>
      <w:szCs w:val="32"/>
      <w:lang w:eastAsia="ru-RU"/>
    </w:rPr>
  </w:style>
  <w:style w:type="paragraph" w:styleId="a3">
    <w:name w:val="Body Text"/>
    <w:basedOn w:val="a"/>
    <w:link w:val="a4"/>
    <w:rsid w:val="00984BF8"/>
    <w:pPr>
      <w:jc w:val="both"/>
    </w:pPr>
    <w:rPr>
      <w:bCs/>
    </w:rPr>
  </w:style>
  <w:style w:type="character" w:customStyle="1" w:styleId="a4">
    <w:name w:val="Основной текст Знак"/>
    <w:basedOn w:val="a0"/>
    <w:link w:val="a3"/>
    <w:rsid w:val="00984BF8"/>
    <w:rPr>
      <w:rFonts w:ascii="Times New Roman" w:eastAsia="Times New Roman" w:hAnsi="Times New Roman" w:cs="Times New Roman"/>
      <w:bCs/>
      <w:sz w:val="24"/>
      <w:szCs w:val="24"/>
      <w:lang w:eastAsia="ru-RU"/>
    </w:rPr>
  </w:style>
  <w:style w:type="paragraph" w:styleId="a5">
    <w:name w:val="Body Text Indent"/>
    <w:basedOn w:val="a"/>
    <w:link w:val="a6"/>
    <w:rsid w:val="00984BF8"/>
    <w:pPr>
      <w:ind w:firstLine="708"/>
    </w:pPr>
    <w:rPr>
      <w:i/>
      <w:sz w:val="28"/>
      <w:szCs w:val="20"/>
    </w:rPr>
  </w:style>
  <w:style w:type="character" w:customStyle="1" w:styleId="a6">
    <w:name w:val="Основной текст с отступом Знак"/>
    <w:basedOn w:val="a0"/>
    <w:link w:val="a5"/>
    <w:rsid w:val="00984BF8"/>
    <w:rPr>
      <w:rFonts w:ascii="Times New Roman" w:eastAsia="Times New Roman" w:hAnsi="Times New Roman" w:cs="Times New Roman"/>
      <w:i/>
      <w:sz w:val="28"/>
      <w:szCs w:val="20"/>
      <w:lang w:eastAsia="ru-RU"/>
    </w:rPr>
  </w:style>
  <w:style w:type="paragraph" w:styleId="a7">
    <w:name w:val="Balloon Text"/>
    <w:basedOn w:val="a"/>
    <w:link w:val="a8"/>
    <w:uiPriority w:val="99"/>
    <w:semiHidden/>
    <w:unhideWhenUsed/>
    <w:rsid w:val="00984BF8"/>
    <w:rPr>
      <w:rFonts w:ascii="Tahoma" w:hAnsi="Tahoma" w:cs="Tahoma"/>
      <w:sz w:val="16"/>
      <w:szCs w:val="16"/>
    </w:rPr>
  </w:style>
  <w:style w:type="character" w:customStyle="1" w:styleId="a8">
    <w:name w:val="Текст выноски Знак"/>
    <w:basedOn w:val="a0"/>
    <w:link w:val="a7"/>
    <w:uiPriority w:val="99"/>
    <w:semiHidden/>
    <w:rsid w:val="00984B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1958</Words>
  <Characters>11163</Characters>
  <Application>Microsoft Office Word</Application>
  <DocSecurity>0</DocSecurity>
  <Lines>93</Lines>
  <Paragraphs>26</Paragraphs>
  <ScaleCrop>false</ScaleCrop>
  <Company>SPecialiST RePack</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2022-05-04T01:31:00Z</dcterms:created>
  <dcterms:modified xsi:type="dcterms:W3CDTF">2022-05-04T01:37:00Z</dcterms:modified>
</cp:coreProperties>
</file>